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490" w:rsidRPr="00D34BE1" w:rsidRDefault="00D33490" w:rsidP="00D34BE1">
      <w:pPr>
        <w:spacing w:line="360" w:lineRule="auto"/>
        <w:jc w:val="both"/>
        <w:rPr>
          <w:rFonts w:asciiTheme="minorHAnsi" w:hAnsiTheme="minorHAnsi" w:cstheme="minorHAnsi"/>
          <w:b/>
          <w:color w:val="auto"/>
          <w:u w:val="single"/>
        </w:rPr>
      </w:pPr>
    </w:p>
    <w:p w:rsidR="00D34BE1" w:rsidRPr="00D34BE1" w:rsidRDefault="00D34BE1" w:rsidP="00D34BE1">
      <w:pPr>
        <w:spacing w:line="360" w:lineRule="auto"/>
        <w:jc w:val="center"/>
        <w:rPr>
          <w:rFonts w:asciiTheme="minorHAnsi" w:hAnsiTheme="minorHAnsi" w:cstheme="minorHAnsi"/>
          <w:b/>
          <w:color w:val="auto"/>
          <w:u w:val="single"/>
        </w:rPr>
      </w:pPr>
      <w:r w:rsidRPr="00D34BE1">
        <w:rPr>
          <w:rFonts w:asciiTheme="minorHAnsi" w:hAnsiTheme="minorHAnsi" w:cstheme="minorHAnsi"/>
          <w:b/>
          <w:color w:val="auto"/>
          <w:u w:val="single"/>
        </w:rPr>
        <w:t>BIENALSUR 2019 INAUGURA LA EXPOSICIÓN "ACCIÓN 213: UN RESABIO DE AUSTERA LUMINOSIDAD" DEL ARTIST</w:t>
      </w:r>
      <w:r w:rsidR="00EF3136">
        <w:rPr>
          <w:rFonts w:asciiTheme="minorHAnsi" w:hAnsiTheme="minorHAnsi" w:cstheme="minorHAnsi"/>
          <w:b/>
          <w:color w:val="auto"/>
          <w:u w:val="single"/>
        </w:rPr>
        <w:t>A</w:t>
      </w:r>
      <w:r w:rsidRPr="00D34BE1">
        <w:rPr>
          <w:rFonts w:asciiTheme="minorHAnsi" w:hAnsiTheme="minorHAnsi" w:cstheme="minorHAnsi"/>
          <w:b/>
          <w:color w:val="auto"/>
          <w:u w:val="single"/>
        </w:rPr>
        <w:t xml:space="preserve"> REZA ARAMESH</w:t>
      </w:r>
    </w:p>
    <w:p w:rsidR="00D34BE1" w:rsidRPr="00D34BE1" w:rsidRDefault="00D34BE1" w:rsidP="00D34BE1">
      <w:pPr>
        <w:spacing w:line="360" w:lineRule="auto"/>
        <w:jc w:val="both"/>
        <w:rPr>
          <w:rFonts w:asciiTheme="minorHAnsi" w:hAnsiTheme="minorHAnsi" w:cstheme="minorHAnsi"/>
          <w:b/>
          <w:color w:val="auto"/>
        </w:rPr>
      </w:pPr>
    </w:p>
    <w:p w:rsidR="00D34BE1" w:rsidRPr="00D34BE1" w:rsidRDefault="00D34BE1" w:rsidP="00D34BE1">
      <w:pPr>
        <w:spacing w:line="360" w:lineRule="auto"/>
        <w:jc w:val="both"/>
        <w:rPr>
          <w:rFonts w:asciiTheme="minorHAnsi" w:hAnsiTheme="minorHAnsi" w:cstheme="minorHAnsi"/>
          <w:b/>
          <w:color w:val="auto"/>
        </w:rPr>
      </w:pPr>
      <w:r w:rsidRPr="00D34BE1">
        <w:rPr>
          <w:rFonts w:asciiTheme="minorHAnsi" w:hAnsiTheme="minorHAnsi" w:cstheme="minorHAnsi"/>
          <w:b/>
          <w:color w:val="auto"/>
        </w:rPr>
        <w:t xml:space="preserve">BIENALSUR 2019, la segunda edición del evento cultural de arte contemporáneo de Argentina al mundo, inaugura el 23 de junio en el Museo Nacional de Arte Decorativo (MNAD) la exposición "Acción 213: Un </w:t>
      </w:r>
      <w:r>
        <w:rPr>
          <w:rFonts w:asciiTheme="minorHAnsi" w:hAnsiTheme="minorHAnsi" w:cstheme="minorHAnsi"/>
          <w:b/>
          <w:color w:val="auto"/>
        </w:rPr>
        <w:t>resabio de austera luminosidad</w:t>
      </w:r>
      <w:r w:rsidRPr="00D34BE1">
        <w:rPr>
          <w:rFonts w:asciiTheme="minorHAnsi" w:hAnsiTheme="minorHAnsi" w:cstheme="minorHAnsi"/>
          <w:b/>
          <w:color w:val="auto"/>
        </w:rPr>
        <w:t xml:space="preserve">" del artista iraní Reza </w:t>
      </w:r>
      <w:proofErr w:type="spellStart"/>
      <w:r w:rsidRPr="00D34BE1">
        <w:rPr>
          <w:rFonts w:asciiTheme="minorHAnsi" w:hAnsiTheme="minorHAnsi" w:cstheme="minorHAnsi"/>
          <w:b/>
          <w:color w:val="auto"/>
        </w:rPr>
        <w:t>Aramesh</w:t>
      </w:r>
      <w:proofErr w:type="spellEnd"/>
      <w:r w:rsidRPr="00D34BE1">
        <w:rPr>
          <w:rFonts w:asciiTheme="minorHAnsi" w:hAnsiTheme="minorHAnsi" w:cstheme="minorHAnsi"/>
          <w:b/>
          <w:color w:val="auto"/>
        </w:rPr>
        <w:t>.</w:t>
      </w:r>
    </w:p>
    <w:p w:rsidR="00D34BE1" w:rsidRDefault="00EF3136" w:rsidP="00EF3136">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 xml:space="preserve">Organizada por la Universidad Nacional de Tres de Febrero (UNTREF), la segunda edición de la Bienal Internacional de Arte Contemporáneo de América del Sur se realiza de mayo a noviembre de 2019 con la participación de más de </w:t>
      </w:r>
      <w:r w:rsidRPr="00D34BE1">
        <w:rPr>
          <w:rFonts w:asciiTheme="minorHAnsi" w:hAnsiTheme="minorHAnsi" w:cstheme="minorHAnsi"/>
          <w:b/>
          <w:color w:val="auto"/>
        </w:rPr>
        <w:t>400 artistas</w:t>
      </w:r>
      <w:r w:rsidRPr="00D34BE1">
        <w:rPr>
          <w:rFonts w:asciiTheme="minorHAnsi" w:hAnsiTheme="minorHAnsi" w:cstheme="minorHAnsi"/>
          <w:color w:val="auto"/>
        </w:rPr>
        <w:t xml:space="preserve">, quienes presentan sus obras en exposiciones simultáneas, distribuidas en </w:t>
      </w:r>
      <w:r w:rsidRPr="00D34BE1">
        <w:rPr>
          <w:rFonts w:asciiTheme="minorHAnsi" w:hAnsiTheme="minorHAnsi" w:cstheme="minorHAnsi"/>
          <w:b/>
          <w:color w:val="auto"/>
        </w:rPr>
        <w:t>43 ciudades</w:t>
      </w:r>
      <w:r w:rsidRPr="00D34BE1">
        <w:rPr>
          <w:rFonts w:asciiTheme="minorHAnsi" w:hAnsiTheme="minorHAnsi" w:cstheme="minorHAnsi"/>
          <w:color w:val="auto"/>
        </w:rPr>
        <w:t xml:space="preserve"> de una </w:t>
      </w:r>
      <w:r w:rsidRPr="00D34BE1">
        <w:rPr>
          <w:rFonts w:asciiTheme="minorHAnsi" w:hAnsiTheme="minorHAnsi" w:cstheme="minorHAnsi"/>
          <w:b/>
          <w:color w:val="auto"/>
        </w:rPr>
        <w:t>veintena de países</w:t>
      </w:r>
      <w:r w:rsidRPr="00D34BE1">
        <w:rPr>
          <w:rFonts w:asciiTheme="minorHAnsi" w:hAnsiTheme="minorHAnsi" w:cstheme="minorHAnsi"/>
          <w:color w:val="auto"/>
        </w:rPr>
        <w:t xml:space="preserve">, a través de más de </w:t>
      </w:r>
      <w:r w:rsidRPr="00D34BE1">
        <w:rPr>
          <w:rFonts w:asciiTheme="minorHAnsi" w:hAnsiTheme="minorHAnsi" w:cstheme="minorHAnsi"/>
          <w:b/>
          <w:color w:val="auto"/>
        </w:rPr>
        <w:t>cien sedes</w:t>
      </w:r>
      <w:r w:rsidRPr="00D34BE1">
        <w:rPr>
          <w:rFonts w:asciiTheme="minorHAnsi" w:hAnsiTheme="minorHAnsi" w:cstheme="minorHAnsi"/>
          <w:color w:val="auto"/>
        </w:rPr>
        <w:t xml:space="preserve"> </w:t>
      </w:r>
      <w:r w:rsidRPr="00D34BE1">
        <w:rPr>
          <w:rFonts w:asciiTheme="minorHAnsi" w:hAnsiTheme="minorHAnsi" w:cstheme="minorHAnsi"/>
          <w:b/>
          <w:color w:val="auto"/>
        </w:rPr>
        <w:t>con las que BIENALSUR trabaja de forma conjunta y colaborativa</w:t>
      </w:r>
      <w:r w:rsidRPr="00D34BE1">
        <w:rPr>
          <w:rFonts w:asciiTheme="minorHAnsi" w:hAnsiTheme="minorHAnsi" w:cstheme="minorHAnsi"/>
          <w:color w:val="auto"/>
        </w:rPr>
        <w:t>.</w:t>
      </w:r>
    </w:p>
    <w:p w:rsidR="00EF3136" w:rsidRDefault="00EF3136" w:rsidP="00EF3136">
      <w:pPr>
        <w:spacing w:line="360" w:lineRule="auto"/>
        <w:ind w:firstLine="708"/>
        <w:jc w:val="both"/>
        <w:rPr>
          <w:rFonts w:asciiTheme="minorHAnsi" w:hAnsiTheme="minorHAnsi" w:cstheme="minorHAnsi"/>
          <w:color w:val="auto"/>
        </w:rPr>
      </w:pPr>
      <w:r>
        <w:rPr>
          <w:rFonts w:asciiTheme="minorHAnsi" w:hAnsiTheme="minorHAnsi" w:cstheme="minorHAnsi"/>
          <w:b/>
          <w:color w:val="auto"/>
        </w:rPr>
        <w:t>L</w:t>
      </w:r>
      <w:r w:rsidRPr="00D34BE1">
        <w:rPr>
          <w:rFonts w:asciiTheme="minorHAnsi" w:hAnsiTheme="minorHAnsi" w:cstheme="minorHAnsi"/>
          <w:b/>
          <w:color w:val="auto"/>
        </w:rPr>
        <w:t xml:space="preserve">a exposición "Acción 213: Un </w:t>
      </w:r>
      <w:r>
        <w:rPr>
          <w:rFonts w:asciiTheme="minorHAnsi" w:hAnsiTheme="minorHAnsi" w:cstheme="minorHAnsi"/>
          <w:b/>
          <w:color w:val="auto"/>
        </w:rPr>
        <w:t>resabio de austera luminosidad</w:t>
      </w:r>
      <w:r w:rsidRPr="00D34BE1">
        <w:rPr>
          <w:rFonts w:asciiTheme="minorHAnsi" w:hAnsiTheme="minorHAnsi" w:cstheme="minorHAnsi"/>
          <w:b/>
          <w:color w:val="auto"/>
        </w:rPr>
        <w:t xml:space="preserve">" del artista iraní Reza </w:t>
      </w:r>
      <w:proofErr w:type="spellStart"/>
      <w:r w:rsidRPr="00D34BE1">
        <w:rPr>
          <w:rFonts w:asciiTheme="minorHAnsi" w:hAnsiTheme="minorHAnsi" w:cstheme="minorHAnsi"/>
          <w:b/>
          <w:color w:val="auto"/>
        </w:rPr>
        <w:t>Aramesh</w:t>
      </w:r>
      <w:proofErr w:type="spellEnd"/>
      <w:r>
        <w:rPr>
          <w:rFonts w:asciiTheme="minorHAnsi" w:hAnsiTheme="minorHAnsi" w:cstheme="minorHAnsi"/>
          <w:b/>
          <w:color w:val="auto"/>
        </w:rPr>
        <w:t xml:space="preserve"> que inaugura el 23 de junio a las 17 en el Museo Nacional de Arte Decorativo </w:t>
      </w:r>
      <w:r w:rsidRPr="00EF3136">
        <w:rPr>
          <w:rFonts w:asciiTheme="minorHAnsi" w:hAnsiTheme="minorHAnsi" w:cstheme="minorHAnsi"/>
          <w:color w:val="auto"/>
        </w:rPr>
        <w:t>se suma a la notable programación que BIENALSUR 2019 desplegará del 22 al 29 de junio en la ciudad de Buenos Aires, cuando alcance su punto de mayor intensidad, debido a la alta concentración de propuestas artísticas que inau</w:t>
      </w:r>
      <w:r>
        <w:rPr>
          <w:rFonts w:asciiTheme="minorHAnsi" w:hAnsiTheme="minorHAnsi" w:cstheme="minorHAnsi"/>
          <w:color w:val="auto"/>
        </w:rPr>
        <w:t xml:space="preserve">guran en museos, instituciones, </w:t>
      </w:r>
      <w:r w:rsidRPr="00EF3136">
        <w:rPr>
          <w:rFonts w:asciiTheme="minorHAnsi" w:hAnsiTheme="minorHAnsi" w:cstheme="minorHAnsi"/>
          <w:color w:val="auto"/>
        </w:rPr>
        <w:t>centros culturales</w:t>
      </w:r>
      <w:r>
        <w:rPr>
          <w:rFonts w:asciiTheme="minorHAnsi" w:hAnsiTheme="minorHAnsi" w:cstheme="minorHAnsi"/>
          <w:color w:val="auto"/>
        </w:rPr>
        <w:t xml:space="preserve"> y espacios públicos emblemáticos</w:t>
      </w:r>
      <w:r w:rsidRPr="00EF3136">
        <w:rPr>
          <w:rFonts w:asciiTheme="minorHAnsi" w:hAnsiTheme="minorHAnsi" w:cstheme="minorHAnsi"/>
          <w:color w:val="auto"/>
        </w:rPr>
        <w:t>.</w:t>
      </w:r>
    </w:p>
    <w:p w:rsidR="00D34BE1" w:rsidRPr="00D34BE1" w:rsidRDefault="00D34BE1" w:rsidP="00EF3136">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Con fotografía</w:t>
      </w:r>
      <w:r w:rsidR="00EF3136">
        <w:rPr>
          <w:rFonts w:asciiTheme="minorHAnsi" w:hAnsiTheme="minorHAnsi" w:cstheme="minorHAnsi"/>
          <w:color w:val="auto"/>
        </w:rPr>
        <w:t>s</w:t>
      </w:r>
      <w:r w:rsidRPr="00D34BE1">
        <w:rPr>
          <w:rFonts w:asciiTheme="minorHAnsi" w:hAnsiTheme="minorHAnsi" w:cstheme="minorHAnsi"/>
          <w:color w:val="auto"/>
        </w:rPr>
        <w:t xml:space="preserve">, escultura, collage, dibujo, video y performance, Reza </w:t>
      </w:r>
      <w:proofErr w:type="spellStart"/>
      <w:r w:rsidRPr="00D34BE1">
        <w:rPr>
          <w:rFonts w:asciiTheme="minorHAnsi" w:hAnsiTheme="minorHAnsi" w:cstheme="minorHAnsi"/>
          <w:color w:val="auto"/>
        </w:rPr>
        <w:t>Aramesh</w:t>
      </w:r>
      <w:proofErr w:type="spellEnd"/>
      <w:r w:rsidRPr="00D34BE1">
        <w:rPr>
          <w:rFonts w:asciiTheme="minorHAnsi" w:hAnsiTheme="minorHAnsi" w:cstheme="minorHAnsi"/>
          <w:color w:val="auto"/>
        </w:rPr>
        <w:t xml:space="preserve"> relata las imágenes violentas de</w:t>
      </w:r>
      <w:r w:rsidR="00EF3136">
        <w:rPr>
          <w:rFonts w:asciiTheme="minorHAnsi" w:hAnsiTheme="minorHAnsi" w:cstheme="minorHAnsi"/>
          <w:color w:val="auto"/>
        </w:rPr>
        <w:t xml:space="preserve"> </w:t>
      </w:r>
      <w:r w:rsidRPr="00D34BE1">
        <w:rPr>
          <w:rFonts w:asciiTheme="minorHAnsi" w:hAnsiTheme="minorHAnsi" w:cstheme="minorHAnsi"/>
          <w:color w:val="auto"/>
        </w:rPr>
        <w:t>l</w:t>
      </w:r>
      <w:r w:rsidR="00EF3136">
        <w:rPr>
          <w:rFonts w:asciiTheme="minorHAnsi" w:hAnsiTheme="minorHAnsi" w:cstheme="minorHAnsi"/>
          <w:color w:val="auto"/>
        </w:rPr>
        <w:t>os</w:t>
      </w:r>
      <w:r w:rsidRPr="00D34BE1">
        <w:rPr>
          <w:rFonts w:asciiTheme="minorHAnsi" w:hAnsiTheme="minorHAnsi" w:cstheme="minorHAnsi"/>
          <w:color w:val="auto"/>
        </w:rPr>
        <w:t xml:space="preserve"> reportaje</w:t>
      </w:r>
      <w:r w:rsidR="00EF3136">
        <w:rPr>
          <w:rFonts w:asciiTheme="minorHAnsi" w:hAnsiTheme="minorHAnsi" w:cstheme="minorHAnsi"/>
          <w:color w:val="auto"/>
        </w:rPr>
        <w:t>s</w:t>
      </w:r>
      <w:r w:rsidRPr="00D34BE1">
        <w:rPr>
          <w:rFonts w:asciiTheme="minorHAnsi" w:hAnsiTheme="minorHAnsi" w:cstheme="minorHAnsi"/>
          <w:color w:val="auto"/>
        </w:rPr>
        <w:t xml:space="preserve"> de guerra. El trabajo de </w:t>
      </w:r>
      <w:proofErr w:type="spellStart"/>
      <w:r w:rsidRPr="00D34BE1">
        <w:rPr>
          <w:rFonts w:asciiTheme="minorHAnsi" w:hAnsiTheme="minorHAnsi" w:cstheme="minorHAnsi"/>
          <w:color w:val="auto"/>
        </w:rPr>
        <w:t>Aramesh</w:t>
      </w:r>
      <w:proofErr w:type="spellEnd"/>
      <w:r w:rsidRPr="00D34BE1">
        <w:rPr>
          <w:rFonts w:asciiTheme="minorHAnsi" w:hAnsiTheme="minorHAnsi" w:cstheme="minorHAnsi"/>
          <w:color w:val="auto"/>
        </w:rPr>
        <w:t xml:space="preserve"> tiene como objetivo in</w:t>
      </w:r>
      <w:r w:rsidR="00EF3136">
        <w:rPr>
          <w:rFonts w:asciiTheme="minorHAnsi" w:hAnsiTheme="minorHAnsi" w:cstheme="minorHAnsi"/>
          <w:color w:val="auto"/>
        </w:rPr>
        <w:t xml:space="preserve">citar </w:t>
      </w:r>
      <w:r w:rsidRPr="00D34BE1">
        <w:rPr>
          <w:rFonts w:asciiTheme="minorHAnsi" w:hAnsiTheme="minorHAnsi" w:cstheme="minorHAnsi"/>
          <w:color w:val="auto"/>
        </w:rPr>
        <w:t xml:space="preserve">el diálogo en torno a los temas de desplazamiento, </w:t>
      </w:r>
      <w:r w:rsidR="00EF3136">
        <w:rPr>
          <w:rFonts w:asciiTheme="minorHAnsi" w:hAnsiTheme="minorHAnsi" w:cstheme="minorHAnsi"/>
          <w:color w:val="auto"/>
        </w:rPr>
        <w:t xml:space="preserve">la </w:t>
      </w:r>
      <w:r w:rsidRPr="00D34BE1">
        <w:rPr>
          <w:rFonts w:asciiTheme="minorHAnsi" w:hAnsiTheme="minorHAnsi" w:cstheme="minorHAnsi"/>
          <w:color w:val="auto"/>
        </w:rPr>
        <w:t>guerra y</w:t>
      </w:r>
      <w:r w:rsidR="00EF3136">
        <w:rPr>
          <w:rFonts w:asciiTheme="minorHAnsi" w:hAnsiTheme="minorHAnsi" w:cstheme="minorHAnsi"/>
          <w:color w:val="auto"/>
        </w:rPr>
        <w:t xml:space="preserve"> el</w:t>
      </w:r>
      <w:r w:rsidRPr="00D34BE1">
        <w:rPr>
          <w:rFonts w:asciiTheme="minorHAnsi" w:hAnsiTheme="minorHAnsi" w:cstheme="minorHAnsi"/>
          <w:color w:val="auto"/>
        </w:rPr>
        <w:t xml:space="preserve"> trauma utilizando el cuerpo, sujeto a los mecanismos básicos del poder y la violencia. </w:t>
      </w:r>
      <w:r w:rsidR="00EF3136">
        <w:rPr>
          <w:rFonts w:asciiTheme="minorHAnsi" w:hAnsiTheme="minorHAnsi" w:cstheme="minorHAnsi"/>
          <w:color w:val="auto"/>
        </w:rPr>
        <w:t>La obra de este artista s</w:t>
      </w:r>
      <w:r w:rsidRPr="00D34BE1">
        <w:rPr>
          <w:rFonts w:asciiTheme="minorHAnsi" w:hAnsiTheme="minorHAnsi" w:cstheme="minorHAnsi"/>
          <w:color w:val="auto"/>
        </w:rPr>
        <w:t xml:space="preserve">e involucra con la cultura contemporánea, las preocupaciones políticas y sociales, y al mismo tiempo recurre a puntos clave de la historia del arte occidental para </w:t>
      </w:r>
      <w:r w:rsidR="00EF3136">
        <w:rPr>
          <w:rFonts w:asciiTheme="minorHAnsi" w:hAnsiTheme="minorHAnsi" w:cstheme="minorHAnsi"/>
          <w:color w:val="auto"/>
        </w:rPr>
        <w:t>conformar</w:t>
      </w:r>
      <w:r w:rsidRPr="00D34BE1">
        <w:rPr>
          <w:rFonts w:asciiTheme="minorHAnsi" w:hAnsiTheme="minorHAnsi" w:cstheme="minorHAnsi"/>
          <w:color w:val="auto"/>
        </w:rPr>
        <w:t xml:space="preserve"> un diálogo visual, al tiempo que cuestiona la iconografía del sufrimiento representada y utilizada por artistas dentro del canon </w:t>
      </w:r>
      <w:r w:rsidR="004A37B7">
        <w:rPr>
          <w:rFonts w:asciiTheme="minorHAnsi" w:hAnsiTheme="minorHAnsi" w:cstheme="minorHAnsi"/>
          <w:color w:val="auto"/>
        </w:rPr>
        <w:t xml:space="preserve">de la historia del arte </w:t>
      </w:r>
      <w:r w:rsidRPr="00D34BE1">
        <w:rPr>
          <w:rFonts w:asciiTheme="minorHAnsi" w:hAnsiTheme="minorHAnsi" w:cstheme="minorHAnsi"/>
          <w:color w:val="auto"/>
        </w:rPr>
        <w:lastRenderedPageBreak/>
        <w:t>europeo.</w:t>
      </w:r>
    </w:p>
    <w:p w:rsidR="00D34BE1" w:rsidRPr="00D34BE1" w:rsidRDefault="00D34BE1" w:rsidP="00D34BE1">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 xml:space="preserve">El eje curatorial "Tránsitos y migración" de BIENALSUR 2019 cuestiona las condiciones preestablecidas en las sociedades contemporáneas. Reza </w:t>
      </w:r>
      <w:proofErr w:type="spellStart"/>
      <w:r w:rsidRPr="00D34BE1">
        <w:rPr>
          <w:rFonts w:asciiTheme="minorHAnsi" w:hAnsiTheme="minorHAnsi" w:cstheme="minorHAnsi"/>
          <w:color w:val="auto"/>
        </w:rPr>
        <w:t>Aramesh</w:t>
      </w:r>
      <w:proofErr w:type="spellEnd"/>
      <w:r w:rsidRPr="00D34BE1">
        <w:rPr>
          <w:rFonts w:asciiTheme="minorHAnsi" w:hAnsiTheme="minorHAnsi" w:cstheme="minorHAnsi"/>
          <w:color w:val="auto"/>
        </w:rPr>
        <w:t xml:space="preserve"> hace de </w:t>
      </w:r>
      <w:r w:rsidR="00EF3136">
        <w:rPr>
          <w:rFonts w:asciiTheme="minorHAnsi" w:hAnsiTheme="minorHAnsi" w:cstheme="minorHAnsi"/>
          <w:color w:val="auto"/>
        </w:rPr>
        <w:t>é</w:t>
      </w:r>
      <w:r w:rsidRPr="00D34BE1">
        <w:rPr>
          <w:rFonts w:asciiTheme="minorHAnsi" w:hAnsiTheme="minorHAnsi" w:cstheme="minorHAnsi"/>
          <w:color w:val="auto"/>
        </w:rPr>
        <w:t>ste tema su motivo de investigación y trabaja con imágenes de procesos migratorios que trascienden las fronteras culturales, alentando al espectador a forjar la acción y el compromiso crítico.</w:t>
      </w:r>
    </w:p>
    <w:p w:rsidR="00D34BE1" w:rsidRPr="00D34BE1" w:rsidRDefault="00D34BE1" w:rsidP="00D34BE1">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Revisando y reinventando la antigua técnica de la serigrafía manual, "</w:t>
      </w:r>
      <w:r w:rsidR="00EF3136" w:rsidRPr="00EF3136">
        <w:rPr>
          <w:rFonts w:asciiTheme="minorHAnsi" w:hAnsiTheme="minorHAnsi" w:cstheme="minorHAnsi"/>
          <w:b/>
          <w:color w:val="auto"/>
        </w:rPr>
        <w:t xml:space="preserve"> </w:t>
      </w:r>
      <w:r w:rsidR="00EF3136" w:rsidRPr="00D34BE1">
        <w:rPr>
          <w:rFonts w:asciiTheme="minorHAnsi" w:hAnsiTheme="minorHAnsi" w:cstheme="minorHAnsi"/>
          <w:b/>
          <w:color w:val="auto"/>
        </w:rPr>
        <w:t xml:space="preserve">Acción 213: Un </w:t>
      </w:r>
      <w:r w:rsidR="00EF3136">
        <w:rPr>
          <w:rFonts w:asciiTheme="minorHAnsi" w:hAnsiTheme="minorHAnsi" w:cstheme="minorHAnsi"/>
          <w:b/>
          <w:color w:val="auto"/>
        </w:rPr>
        <w:t>resabio de austera luminosidad</w:t>
      </w:r>
      <w:r w:rsidRPr="00D34BE1">
        <w:rPr>
          <w:rFonts w:asciiTheme="minorHAnsi" w:hAnsiTheme="minorHAnsi" w:cstheme="minorHAnsi"/>
          <w:color w:val="auto"/>
        </w:rPr>
        <w:t xml:space="preserve">" </w:t>
      </w:r>
      <w:r w:rsidR="00EF3136">
        <w:rPr>
          <w:rFonts w:asciiTheme="minorHAnsi" w:hAnsiTheme="minorHAnsi" w:cstheme="minorHAnsi"/>
          <w:color w:val="auto"/>
        </w:rPr>
        <w:t xml:space="preserve">reúne </w:t>
      </w:r>
      <w:r w:rsidRPr="00D34BE1">
        <w:rPr>
          <w:rFonts w:asciiTheme="minorHAnsi" w:hAnsiTheme="minorHAnsi" w:cstheme="minorHAnsi"/>
          <w:color w:val="auto"/>
        </w:rPr>
        <w:t xml:space="preserve">un conjunto de tres </w:t>
      </w:r>
      <w:r w:rsidR="00EF3136">
        <w:rPr>
          <w:rFonts w:asciiTheme="minorHAnsi" w:hAnsiTheme="minorHAnsi" w:cstheme="minorHAnsi"/>
          <w:color w:val="auto"/>
        </w:rPr>
        <w:t xml:space="preserve">biombos </w:t>
      </w:r>
      <w:r w:rsidRPr="00D34BE1">
        <w:rPr>
          <w:rFonts w:asciiTheme="minorHAnsi" w:hAnsiTheme="minorHAnsi" w:cstheme="minorHAnsi"/>
          <w:color w:val="auto"/>
        </w:rPr>
        <w:t>plegables hech</w:t>
      </w:r>
      <w:r w:rsidR="00EF3136">
        <w:rPr>
          <w:rFonts w:asciiTheme="minorHAnsi" w:hAnsiTheme="minorHAnsi" w:cstheme="minorHAnsi"/>
          <w:color w:val="auto"/>
        </w:rPr>
        <w:t>o</w:t>
      </w:r>
      <w:r w:rsidRPr="00D34BE1">
        <w:rPr>
          <w:rFonts w:asciiTheme="minorHAnsi" w:hAnsiTheme="minorHAnsi" w:cstheme="minorHAnsi"/>
          <w:color w:val="auto"/>
        </w:rPr>
        <w:t xml:space="preserve">s de </w:t>
      </w:r>
      <w:proofErr w:type="spellStart"/>
      <w:r w:rsidRPr="00D34BE1">
        <w:rPr>
          <w:rFonts w:asciiTheme="minorHAnsi" w:hAnsiTheme="minorHAnsi" w:cstheme="minorHAnsi"/>
          <w:color w:val="auto"/>
        </w:rPr>
        <w:t>organza</w:t>
      </w:r>
      <w:proofErr w:type="spellEnd"/>
      <w:r w:rsidRPr="00D34BE1">
        <w:rPr>
          <w:rFonts w:asciiTheme="minorHAnsi" w:hAnsiTheme="minorHAnsi" w:cstheme="minorHAnsi"/>
          <w:color w:val="auto"/>
        </w:rPr>
        <w:t xml:space="preserve"> de doble capa. Cada </w:t>
      </w:r>
      <w:r w:rsidR="00EF3136">
        <w:rPr>
          <w:rFonts w:asciiTheme="minorHAnsi" w:hAnsiTheme="minorHAnsi" w:cstheme="minorHAnsi"/>
          <w:color w:val="auto"/>
        </w:rPr>
        <w:t xml:space="preserve">biombo </w:t>
      </w:r>
      <w:r w:rsidRPr="00D34BE1">
        <w:rPr>
          <w:rFonts w:asciiTheme="minorHAnsi" w:hAnsiTheme="minorHAnsi" w:cstheme="minorHAnsi"/>
          <w:color w:val="auto"/>
        </w:rPr>
        <w:t xml:space="preserve">consta de tres paneles que contienen una imagen de </w:t>
      </w:r>
      <w:r w:rsidR="00EF3136">
        <w:rPr>
          <w:rFonts w:asciiTheme="minorHAnsi" w:hAnsiTheme="minorHAnsi" w:cstheme="minorHAnsi"/>
          <w:color w:val="auto"/>
        </w:rPr>
        <w:t xml:space="preserve">una </w:t>
      </w:r>
      <w:r w:rsidRPr="00D34BE1">
        <w:rPr>
          <w:rFonts w:asciiTheme="minorHAnsi" w:hAnsiTheme="minorHAnsi" w:cstheme="minorHAnsi"/>
          <w:color w:val="auto"/>
        </w:rPr>
        <w:t xml:space="preserve">silueta </w:t>
      </w:r>
      <w:proofErr w:type="spellStart"/>
      <w:r w:rsidRPr="00D34BE1">
        <w:rPr>
          <w:rFonts w:asciiTheme="minorHAnsi" w:hAnsiTheme="minorHAnsi" w:cstheme="minorHAnsi"/>
          <w:color w:val="auto"/>
        </w:rPr>
        <w:t>serigrafiada</w:t>
      </w:r>
      <w:proofErr w:type="spellEnd"/>
      <w:r w:rsidR="00EF3136">
        <w:rPr>
          <w:rFonts w:asciiTheme="minorHAnsi" w:hAnsiTheme="minorHAnsi" w:cstheme="minorHAnsi"/>
          <w:color w:val="auto"/>
        </w:rPr>
        <w:t xml:space="preserve">, </w:t>
      </w:r>
      <w:r w:rsidRPr="00D34BE1">
        <w:rPr>
          <w:rFonts w:asciiTheme="minorHAnsi" w:hAnsiTheme="minorHAnsi" w:cstheme="minorHAnsi"/>
          <w:color w:val="auto"/>
        </w:rPr>
        <w:t xml:space="preserve">a partir de una colección de imágenes de reportajes de guerras y </w:t>
      </w:r>
      <w:r w:rsidR="00EF3136">
        <w:rPr>
          <w:rFonts w:asciiTheme="minorHAnsi" w:hAnsiTheme="minorHAnsi" w:cstheme="minorHAnsi"/>
          <w:color w:val="auto"/>
        </w:rPr>
        <w:t xml:space="preserve">de </w:t>
      </w:r>
      <w:r w:rsidRPr="00D34BE1">
        <w:rPr>
          <w:rFonts w:asciiTheme="minorHAnsi" w:hAnsiTheme="minorHAnsi" w:cstheme="minorHAnsi"/>
          <w:color w:val="auto"/>
        </w:rPr>
        <w:t>desplazamientos, desde la Guerra de Vietnam hasta nuestros días.</w:t>
      </w:r>
    </w:p>
    <w:p w:rsidR="00D34BE1" w:rsidRPr="00D34BE1" w:rsidRDefault="00D34BE1" w:rsidP="00D34BE1">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 xml:space="preserve">Estos elementos se unen en un diálogo con </w:t>
      </w:r>
      <w:r w:rsidR="004A37B7">
        <w:rPr>
          <w:rFonts w:asciiTheme="minorHAnsi" w:hAnsiTheme="minorHAnsi" w:cstheme="minorHAnsi"/>
          <w:color w:val="auto"/>
        </w:rPr>
        <w:t xml:space="preserve">estos </w:t>
      </w:r>
      <w:r w:rsidRPr="00D34BE1">
        <w:rPr>
          <w:rFonts w:asciiTheme="minorHAnsi" w:hAnsiTheme="minorHAnsi" w:cstheme="minorHAnsi"/>
          <w:color w:val="auto"/>
        </w:rPr>
        <w:t xml:space="preserve">plegables de origen chino, que luego se abrieron </w:t>
      </w:r>
      <w:proofErr w:type="gramStart"/>
      <w:r w:rsidRPr="00D34BE1">
        <w:rPr>
          <w:rFonts w:asciiTheme="minorHAnsi" w:hAnsiTheme="minorHAnsi" w:cstheme="minorHAnsi"/>
          <w:color w:val="auto"/>
        </w:rPr>
        <w:t>paso</w:t>
      </w:r>
      <w:proofErr w:type="gramEnd"/>
      <w:r w:rsidRPr="00D34BE1">
        <w:rPr>
          <w:rFonts w:asciiTheme="minorHAnsi" w:hAnsiTheme="minorHAnsi" w:cstheme="minorHAnsi"/>
          <w:color w:val="auto"/>
        </w:rPr>
        <w:t xml:space="preserve"> en Europa. Con frecuencia decorad</w:t>
      </w:r>
      <w:r w:rsidR="004A37B7">
        <w:rPr>
          <w:rFonts w:asciiTheme="minorHAnsi" w:hAnsiTheme="minorHAnsi" w:cstheme="minorHAnsi"/>
          <w:color w:val="auto"/>
        </w:rPr>
        <w:t>o</w:t>
      </w:r>
      <w:r w:rsidRPr="00D34BE1">
        <w:rPr>
          <w:rFonts w:asciiTheme="minorHAnsi" w:hAnsiTheme="minorHAnsi" w:cstheme="minorHAnsi"/>
          <w:color w:val="auto"/>
        </w:rPr>
        <w:t>s con los principales temas de la mitología, escenas de la vida del palacio y la naturaleza, est</w:t>
      </w:r>
      <w:r w:rsidR="004A37B7">
        <w:rPr>
          <w:rFonts w:asciiTheme="minorHAnsi" w:hAnsiTheme="minorHAnsi" w:cstheme="minorHAnsi"/>
          <w:color w:val="auto"/>
        </w:rPr>
        <w:t xml:space="preserve">os biombos </w:t>
      </w:r>
      <w:r w:rsidRPr="00D34BE1">
        <w:rPr>
          <w:rFonts w:asciiTheme="minorHAnsi" w:hAnsiTheme="minorHAnsi" w:cstheme="minorHAnsi"/>
          <w:color w:val="auto"/>
        </w:rPr>
        <w:t xml:space="preserve">a menudo se asocian con la intriga y el romance en la literatura china. </w:t>
      </w:r>
      <w:r w:rsidR="004A37B7">
        <w:rPr>
          <w:rFonts w:asciiTheme="minorHAnsi" w:hAnsiTheme="minorHAnsi" w:cstheme="minorHAnsi"/>
          <w:color w:val="auto"/>
        </w:rPr>
        <w:t xml:space="preserve">El biombo como </w:t>
      </w:r>
      <w:r w:rsidRPr="00D34BE1">
        <w:rPr>
          <w:rFonts w:asciiTheme="minorHAnsi" w:hAnsiTheme="minorHAnsi" w:cstheme="minorHAnsi"/>
          <w:color w:val="auto"/>
        </w:rPr>
        <w:t>objeto está diseñad</w:t>
      </w:r>
      <w:r w:rsidR="004A37B7">
        <w:rPr>
          <w:rFonts w:asciiTheme="minorHAnsi" w:hAnsiTheme="minorHAnsi" w:cstheme="minorHAnsi"/>
          <w:color w:val="auto"/>
        </w:rPr>
        <w:t>o</w:t>
      </w:r>
      <w:r w:rsidRPr="00D34BE1">
        <w:rPr>
          <w:rFonts w:asciiTheme="minorHAnsi" w:hAnsiTheme="minorHAnsi" w:cstheme="minorHAnsi"/>
          <w:color w:val="auto"/>
        </w:rPr>
        <w:t xml:space="preserve"> para dividir el espacio y separar el flujo público dentro de la sala; el dispositivo adquiere un gran significado simbólico, estableciendo un límite entre la experiencia real y el deseo que</w:t>
      </w:r>
      <w:r w:rsidR="004A37B7">
        <w:rPr>
          <w:rFonts w:asciiTheme="minorHAnsi" w:hAnsiTheme="minorHAnsi" w:cstheme="minorHAnsi"/>
          <w:color w:val="auto"/>
        </w:rPr>
        <w:t>,</w:t>
      </w:r>
      <w:r w:rsidRPr="00D34BE1">
        <w:rPr>
          <w:rFonts w:asciiTheme="minorHAnsi" w:hAnsiTheme="minorHAnsi" w:cstheme="minorHAnsi"/>
          <w:color w:val="auto"/>
        </w:rPr>
        <w:t xml:space="preserve"> inevitablemente</w:t>
      </w:r>
      <w:r w:rsidR="004A37B7">
        <w:rPr>
          <w:rFonts w:asciiTheme="minorHAnsi" w:hAnsiTheme="minorHAnsi" w:cstheme="minorHAnsi"/>
          <w:color w:val="auto"/>
        </w:rPr>
        <w:t xml:space="preserve">, alude </w:t>
      </w:r>
      <w:r w:rsidRPr="00D34BE1">
        <w:rPr>
          <w:rFonts w:asciiTheme="minorHAnsi" w:hAnsiTheme="minorHAnsi" w:cstheme="minorHAnsi"/>
          <w:color w:val="auto"/>
        </w:rPr>
        <w:t>a la condición de la migración.</w:t>
      </w:r>
    </w:p>
    <w:p w:rsidR="00D34BE1" w:rsidRDefault="00D34BE1" w:rsidP="00D34BE1">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 xml:space="preserve">"Acción 213" es una instalación </w:t>
      </w:r>
      <w:r w:rsidR="004A37B7">
        <w:rPr>
          <w:rFonts w:asciiTheme="minorHAnsi" w:hAnsiTheme="minorHAnsi" w:cstheme="minorHAnsi"/>
          <w:color w:val="auto"/>
        </w:rPr>
        <w:t xml:space="preserve">de sitio </w:t>
      </w:r>
      <w:r w:rsidRPr="00D34BE1">
        <w:rPr>
          <w:rFonts w:asciiTheme="minorHAnsi" w:hAnsiTheme="minorHAnsi" w:cstheme="minorHAnsi"/>
          <w:color w:val="auto"/>
        </w:rPr>
        <w:t>específic</w:t>
      </w:r>
      <w:r w:rsidR="004A37B7">
        <w:rPr>
          <w:rFonts w:asciiTheme="minorHAnsi" w:hAnsiTheme="minorHAnsi" w:cstheme="minorHAnsi"/>
          <w:color w:val="auto"/>
        </w:rPr>
        <w:t>o</w:t>
      </w:r>
      <w:r w:rsidRPr="00D34BE1">
        <w:rPr>
          <w:rFonts w:asciiTheme="minorHAnsi" w:hAnsiTheme="minorHAnsi" w:cstheme="minorHAnsi"/>
          <w:color w:val="auto"/>
        </w:rPr>
        <w:t xml:space="preserve">, curada por BIENALSUR 2019 (Diana </w:t>
      </w:r>
      <w:proofErr w:type="spellStart"/>
      <w:r w:rsidRPr="00D34BE1">
        <w:rPr>
          <w:rFonts w:asciiTheme="minorHAnsi" w:hAnsiTheme="minorHAnsi" w:cstheme="minorHAnsi"/>
          <w:color w:val="auto"/>
        </w:rPr>
        <w:t>Wechsler</w:t>
      </w:r>
      <w:proofErr w:type="spellEnd"/>
      <w:r w:rsidRPr="00D34BE1">
        <w:rPr>
          <w:rFonts w:asciiTheme="minorHAnsi" w:hAnsiTheme="minorHAnsi" w:cstheme="minorHAnsi"/>
          <w:color w:val="auto"/>
        </w:rPr>
        <w:t xml:space="preserve">), para el Museo Nacional de Arte Decorativo en Buenos Aires (Avenida del Libertador 1902). Las pantallas están instaladas en el Salón de Baile, que fue diseñado del arquitecto francés René </w:t>
      </w:r>
      <w:proofErr w:type="spellStart"/>
      <w:r w:rsidRPr="00D34BE1">
        <w:rPr>
          <w:rFonts w:asciiTheme="minorHAnsi" w:hAnsiTheme="minorHAnsi" w:cstheme="minorHAnsi"/>
          <w:color w:val="auto"/>
        </w:rPr>
        <w:t>Sergent</w:t>
      </w:r>
      <w:proofErr w:type="spellEnd"/>
      <w:r w:rsidRPr="00D34BE1">
        <w:rPr>
          <w:rFonts w:asciiTheme="minorHAnsi" w:hAnsiTheme="minorHAnsi" w:cstheme="minorHAnsi"/>
          <w:color w:val="auto"/>
        </w:rPr>
        <w:t xml:space="preserve"> en 1911 e inspirado en el Palacio de Versalles.</w:t>
      </w:r>
    </w:p>
    <w:p w:rsidR="004A37B7" w:rsidRPr="00D34BE1" w:rsidRDefault="004A37B7" w:rsidP="00D34BE1">
      <w:pPr>
        <w:spacing w:line="360" w:lineRule="auto"/>
        <w:ind w:firstLine="708"/>
        <w:jc w:val="both"/>
        <w:rPr>
          <w:rFonts w:asciiTheme="minorHAnsi" w:hAnsiTheme="minorHAnsi" w:cstheme="minorHAnsi"/>
          <w:color w:val="auto"/>
        </w:rPr>
      </w:pPr>
    </w:p>
    <w:p w:rsidR="00EF3136" w:rsidRPr="004A37B7" w:rsidRDefault="004A37B7" w:rsidP="004A37B7">
      <w:pPr>
        <w:spacing w:line="360" w:lineRule="auto"/>
        <w:ind w:firstLine="708"/>
        <w:jc w:val="center"/>
        <w:rPr>
          <w:rFonts w:asciiTheme="minorHAnsi" w:hAnsiTheme="minorHAnsi" w:cstheme="minorHAnsi"/>
          <w:b/>
          <w:color w:val="auto"/>
          <w:u w:val="single"/>
        </w:rPr>
      </w:pPr>
      <w:r w:rsidRPr="004A37B7">
        <w:rPr>
          <w:rFonts w:asciiTheme="minorHAnsi" w:hAnsiTheme="minorHAnsi" w:cstheme="minorHAnsi"/>
          <w:b/>
          <w:color w:val="auto"/>
          <w:u w:val="single"/>
        </w:rPr>
        <w:t>ACERCA DE BIENALSUR</w:t>
      </w:r>
    </w:p>
    <w:p w:rsidR="00D34BE1" w:rsidRPr="00D34BE1" w:rsidRDefault="00D34BE1" w:rsidP="00D34BE1">
      <w:pPr>
        <w:spacing w:line="360" w:lineRule="auto"/>
        <w:ind w:firstLine="708"/>
        <w:jc w:val="both"/>
        <w:rPr>
          <w:rFonts w:asciiTheme="minorHAnsi" w:hAnsiTheme="minorHAnsi" w:cstheme="minorHAnsi"/>
          <w:color w:val="auto"/>
        </w:rPr>
      </w:pPr>
      <w:r w:rsidRPr="00D34BE1">
        <w:rPr>
          <w:rFonts w:asciiTheme="minorHAnsi" w:hAnsiTheme="minorHAnsi" w:cstheme="minorHAnsi"/>
          <w:b/>
          <w:color w:val="auto"/>
        </w:rPr>
        <w:t>BIENALSUR 2019</w:t>
      </w:r>
      <w:r w:rsidRPr="00D34BE1">
        <w:rPr>
          <w:rFonts w:asciiTheme="minorHAnsi" w:hAnsiTheme="minorHAnsi" w:cstheme="minorHAnsi"/>
          <w:color w:val="auto"/>
        </w:rPr>
        <w:t xml:space="preserve"> fue lanzada oficialmente en mayo pasado en la provincia de Tierra del Fuego, en un simbólico posicionamiento </w:t>
      </w:r>
      <w:r w:rsidRPr="00D34BE1">
        <w:rPr>
          <w:rFonts w:asciiTheme="minorHAnsi" w:hAnsiTheme="minorHAnsi" w:cstheme="minorHAnsi"/>
          <w:b/>
          <w:color w:val="auto"/>
        </w:rPr>
        <w:t>al sur del sur</w:t>
      </w:r>
      <w:r w:rsidRPr="00D34BE1">
        <w:rPr>
          <w:rFonts w:asciiTheme="minorHAnsi" w:hAnsiTheme="minorHAnsi" w:cstheme="minorHAnsi"/>
          <w:color w:val="auto"/>
        </w:rPr>
        <w:t xml:space="preserve">, y luego de inaugurar capítulos en distintos territorios como Tucumán, Rosario, Córdoba, San Juan, Brasil, Suiza y Francia, y su despliegue en Buenos Aires, seguirá extendiéndose luego a países como </w:t>
      </w:r>
      <w:r w:rsidRPr="00D34BE1">
        <w:rPr>
          <w:rFonts w:asciiTheme="minorHAnsi" w:hAnsiTheme="minorHAnsi" w:cstheme="minorHAnsi"/>
          <w:color w:val="auto"/>
        </w:rPr>
        <w:lastRenderedPageBreak/>
        <w:t xml:space="preserve">Bolivia, Chile, Colombia, Ecuador, México, Paraguay, Perú, Uruguay, </w:t>
      </w:r>
      <w:proofErr w:type="spellStart"/>
      <w:r w:rsidRPr="00D34BE1">
        <w:rPr>
          <w:rFonts w:asciiTheme="minorHAnsi" w:hAnsiTheme="minorHAnsi" w:cstheme="minorHAnsi"/>
          <w:color w:val="auto"/>
        </w:rPr>
        <w:t>Benin</w:t>
      </w:r>
      <w:proofErr w:type="spellEnd"/>
      <w:r w:rsidRPr="00D34BE1">
        <w:rPr>
          <w:rFonts w:asciiTheme="minorHAnsi" w:hAnsiTheme="minorHAnsi" w:cstheme="minorHAnsi"/>
          <w:color w:val="auto"/>
        </w:rPr>
        <w:t>, España, Francia, Italia, Marruecos y Japón, entre otros.</w:t>
      </w:r>
    </w:p>
    <w:p w:rsidR="00D34BE1" w:rsidRPr="00D34BE1" w:rsidRDefault="00D34BE1" w:rsidP="00D34BE1">
      <w:pPr>
        <w:spacing w:line="360" w:lineRule="auto"/>
        <w:ind w:firstLine="708"/>
        <w:jc w:val="both"/>
        <w:rPr>
          <w:rFonts w:asciiTheme="minorHAnsi" w:hAnsiTheme="minorHAnsi" w:cstheme="minorHAnsi"/>
          <w:color w:val="auto"/>
        </w:rPr>
      </w:pPr>
      <w:r w:rsidRPr="00D34BE1">
        <w:rPr>
          <w:rFonts w:asciiTheme="minorHAnsi" w:hAnsiTheme="minorHAnsi" w:cstheme="minorHAnsi"/>
          <w:color w:val="auto"/>
        </w:rPr>
        <w:t xml:space="preserve">BIENALSUR concibe a la cultura como un vehículo de integración entre países. Para conectar todas sus sedes plantea una cartografía inédita, que borra fronteras y piensa junto con los artistas, </w:t>
      </w:r>
      <w:r w:rsidRPr="00D34BE1">
        <w:rPr>
          <w:rFonts w:asciiTheme="minorHAnsi" w:hAnsiTheme="minorHAnsi" w:cstheme="minorHAnsi"/>
          <w:b/>
          <w:color w:val="auto"/>
        </w:rPr>
        <w:t xml:space="preserve">entre lo local y lo global. </w:t>
      </w:r>
      <w:r w:rsidRPr="00D34BE1">
        <w:rPr>
          <w:rFonts w:asciiTheme="minorHAnsi" w:hAnsiTheme="minorHAnsi" w:cstheme="minorHAnsi"/>
          <w:color w:val="auto"/>
        </w:rPr>
        <w:t xml:space="preserve">De manera simbólica, sitúa el MUNTREF 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 </w:t>
      </w:r>
    </w:p>
    <w:p w:rsidR="00D34BE1" w:rsidRPr="00D34BE1" w:rsidRDefault="00D34BE1" w:rsidP="00D34BE1">
      <w:pPr>
        <w:spacing w:line="360" w:lineRule="auto"/>
        <w:ind w:firstLine="708"/>
        <w:jc w:val="both"/>
        <w:rPr>
          <w:rFonts w:asciiTheme="minorHAnsi" w:hAnsiTheme="minorHAnsi" w:cstheme="minorHAnsi"/>
          <w:color w:val="auto"/>
        </w:rPr>
      </w:pPr>
    </w:p>
    <w:p w:rsidR="00321507" w:rsidRPr="00D34BE1" w:rsidRDefault="00321507" w:rsidP="00D34BE1">
      <w:pPr>
        <w:spacing w:line="360" w:lineRule="auto"/>
        <w:jc w:val="both"/>
        <w:rPr>
          <w:rFonts w:asciiTheme="minorHAnsi" w:hAnsiTheme="minorHAnsi" w:cstheme="minorHAnsi"/>
          <w:color w:val="auto"/>
        </w:rPr>
      </w:pPr>
      <w:r w:rsidRPr="00D34BE1">
        <w:rPr>
          <w:rFonts w:asciiTheme="minorHAnsi" w:hAnsiTheme="minorHAnsi" w:cstheme="minorHAnsi"/>
          <w:b/>
          <w:color w:val="auto"/>
        </w:rPr>
        <w:t>PRENSA</w:t>
      </w:r>
      <w:r w:rsidRPr="00D34BE1">
        <w:rPr>
          <w:rFonts w:asciiTheme="minorHAnsi" w:hAnsiTheme="minorHAnsi" w:cstheme="minorHAnsi"/>
          <w:color w:val="auto"/>
        </w:rPr>
        <w:t xml:space="preserve"> | Toda la información sobre BIENALSUR 2019, materiales de prensa e imágenes en alta resolución está disponible para descarga desde nuestra página web: https://bienalsur.org/es/prensa</w:t>
      </w:r>
    </w:p>
    <w:p w:rsidR="00321507" w:rsidRPr="00D34BE1" w:rsidRDefault="00321507" w:rsidP="00D34BE1">
      <w:pPr>
        <w:spacing w:line="360" w:lineRule="auto"/>
        <w:jc w:val="both"/>
        <w:rPr>
          <w:rFonts w:asciiTheme="minorHAnsi" w:hAnsiTheme="minorHAnsi" w:cstheme="minorHAnsi"/>
          <w:color w:val="auto"/>
        </w:rPr>
      </w:pPr>
    </w:p>
    <w:p w:rsidR="00321507" w:rsidRPr="00D34BE1" w:rsidRDefault="00321507" w:rsidP="00D34BE1">
      <w:pPr>
        <w:spacing w:line="360" w:lineRule="auto"/>
        <w:jc w:val="both"/>
        <w:rPr>
          <w:rFonts w:asciiTheme="minorHAnsi" w:hAnsiTheme="minorHAnsi" w:cstheme="minorHAnsi"/>
          <w:b/>
          <w:color w:val="auto"/>
        </w:rPr>
      </w:pPr>
      <w:r w:rsidRPr="00D34BE1">
        <w:rPr>
          <w:rFonts w:asciiTheme="minorHAnsi" w:hAnsiTheme="minorHAnsi" w:cstheme="minorHAnsi"/>
          <w:b/>
          <w:color w:val="auto"/>
        </w:rPr>
        <w:t>Para más información de prensa</w:t>
      </w:r>
    </w:p>
    <w:p w:rsidR="00321507" w:rsidRPr="00D34BE1" w:rsidRDefault="00321507" w:rsidP="00D34BE1">
      <w:pPr>
        <w:spacing w:line="360" w:lineRule="auto"/>
        <w:jc w:val="both"/>
        <w:rPr>
          <w:rFonts w:asciiTheme="minorHAnsi" w:hAnsiTheme="minorHAnsi" w:cstheme="minorHAnsi"/>
          <w:color w:val="auto"/>
        </w:rPr>
      </w:pPr>
      <w:proofErr w:type="spellStart"/>
      <w:r w:rsidRPr="00D34BE1">
        <w:rPr>
          <w:rFonts w:asciiTheme="minorHAnsi" w:hAnsiTheme="minorHAnsi" w:cstheme="minorHAnsi"/>
          <w:color w:val="auto"/>
        </w:rPr>
        <w:t>Claribel</w:t>
      </w:r>
      <w:proofErr w:type="spellEnd"/>
      <w:r w:rsidRPr="00D34BE1">
        <w:rPr>
          <w:rFonts w:asciiTheme="minorHAnsi" w:hAnsiTheme="minorHAnsi" w:cstheme="minorHAnsi"/>
          <w:color w:val="auto"/>
        </w:rPr>
        <w:t xml:space="preserve"> </w:t>
      </w:r>
      <w:proofErr w:type="spellStart"/>
      <w:r w:rsidRPr="00D34BE1">
        <w:rPr>
          <w:rFonts w:asciiTheme="minorHAnsi" w:hAnsiTheme="minorHAnsi" w:cstheme="minorHAnsi"/>
          <w:color w:val="auto"/>
        </w:rPr>
        <w:t>Terré</w:t>
      </w:r>
      <w:proofErr w:type="spellEnd"/>
      <w:r w:rsidRPr="00D34BE1">
        <w:rPr>
          <w:rFonts w:asciiTheme="minorHAnsi" w:hAnsiTheme="minorHAnsi" w:cstheme="minorHAnsi"/>
          <w:color w:val="auto"/>
        </w:rPr>
        <w:t xml:space="preserve"> </w:t>
      </w:r>
      <w:proofErr w:type="spellStart"/>
      <w:r w:rsidRPr="00D34BE1">
        <w:rPr>
          <w:rFonts w:asciiTheme="minorHAnsi" w:hAnsiTheme="minorHAnsi" w:cstheme="minorHAnsi"/>
          <w:color w:val="auto"/>
        </w:rPr>
        <w:t>Morell</w:t>
      </w:r>
      <w:proofErr w:type="spellEnd"/>
    </w:p>
    <w:p w:rsidR="00321507" w:rsidRPr="00D34BE1" w:rsidRDefault="00321507" w:rsidP="00D34BE1">
      <w:pPr>
        <w:spacing w:line="360" w:lineRule="auto"/>
        <w:jc w:val="both"/>
        <w:rPr>
          <w:rFonts w:asciiTheme="minorHAnsi" w:hAnsiTheme="minorHAnsi" w:cstheme="minorHAnsi"/>
          <w:color w:val="auto"/>
        </w:rPr>
      </w:pPr>
      <w:r w:rsidRPr="00D34BE1">
        <w:rPr>
          <w:rFonts w:asciiTheme="minorHAnsi" w:hAnsiTheme="minorHAnsi" w:cstheme="minorHAnsi"/>
          <w:color w:val="auto"/>
        </w:rPr>
        <w:t>claribelterre@bienalsur.org</w:t>
      </w:r>
    </w:p>
    <w:p w:rsidR="00321507" w:rsidRPr="00D34BE1" w:rsidRDefault="00321507" w:rsidP="00D34BE1">
      <w:pPr>
        <w:spacing w:line="360" w:lineRule="auto"/>
        <w:jc w:val="both"/>
        <w:rPr>
          <w:rFonts w:asciiTheme="minorHAnsi" w:hAnsiTheme="minorHAnsi" w:cstheme="minorHAnsi"/>
          <w:color w:val="auto"/>
        </w:rPr>
      </w:pPr>
    </w:p>
    <w:p w:rsidR="00321507" w:rsidRPr="00D34BE1" w:rsidRDefault="00321507" w:rsidP="00D34BE1">
      <w:pPr>
        <w:spacing w:line="360" w:lineRule="auto"/>
        <w:jc w:val="both"/>
        <w:rPr>
          <w:rFonts w:asciiTheme="minorHAnsi" w:hAnsiTheme="minorHAnsi" w:cstheme="minorHAnsi"/>
          <w:b/>
          <w:color w:val="auto"/>
        </w:rPr>
      </w:pPr>
      <w:r w:rsidRPr="00D34BE1">
        <w:rPr>
          <w:rFonts w:asciiTheme="minorHAnsi" w:hAnsiTheme="minorHAnsi" w:cstheme="minorHAnsi"/>
          <w:b/>
          <w:color w:val="auto"/>
        </w:rPr>
        <w:t>BIENALSUR EN REDES</w:t>
      </w:r>
    </w:p>
    <w:p w:rsidR="00321507" w:rsidRPr="00D34BE1" w:rsidRDefault="00321507" w:rsidP="00D34BE1">
      <w:pPr>
        <w:spacing w:line="360" w:lineRule="auto"/>
        <w:jc w:val="both"/>
        <w:rPr>
          <w:rFonts w:asciiTheme="minorHAnsi" w:hAnsiTheme="minorHAnsi" w:cstheme="minorHAnsi"/>
          <w:color w:val="auto"/>
        </w:rPr>
      </w:pPr>
      <w:proofErr w:type="spellStart"/>
      <w:r w:rsidRPr="00D34BE1">
        <w:rPr>
          <w:rFonts w:asciiTheme="minorHAnsi" w:hAnsiTheme="minorHAnsi" w:cstheme="minorHAnsi"/>
          <w:color w:val="auto"/>
        </w:rPr>
        <w:t>Instagram</w:t>
      </w:r>
      <w:proofErr w:type="spellEnd"/>
      <w:r w:rsidRPr="00D34BE1">
        <w:rPr>
          <w:rFonts w:asciiTheme="minorHAnsi" w:hAnsiTheme="minorHAnsi" w:cstheme="minorHAnsi"/>
          <w:color w:val="auto"/>
        </w:rPr>
        <w:t xml:space="preserve"> /</w:t>
      </w:r>
      <w:proofErr w:type="spellStart"/>
      <w:r w:rsidRPr="00D34BE1">
        <w:rPr>
          <w:rFonts w:asciiTheme="minorHAnsi" w:hAnsiTheme="minorHAnsi" w:cstheme="minorHAnsi"/>
          <w:color w:val="auto"/>
        </w:rPr>
        <w:t>BIENALSURarte</w:t>
      </w:r>
      <w:proofErr w:type="spellEnd"/>
    </w:p>
    <w:p w:rsidR="00321507" w:rsidRPr="00D34BE1" w:rsidRDefault="00321507" w:rsidP="00D34BE1">
      <w:pPr>
        <w:spacing w:line="360" w:lineRule="auto"/>
        <w:jc w:val="both"/>
        <w:rPr>
          <w:rFonts w:asciiTheme="minorHAnsi" w:hAnsiTheme="minorHAnsi" w:cstheme="minorHAnsi"/>
          <w:color w:val="auto"/>
        </w:rPr>
      </w:pPr>
      <w:r w:rsidRPr="00D34BE1">
        <w:rPr>
          <w:rFonts w:asciiTheme="minorHAnsi" w:hAnsiTheme="minorHAnsi" w:cstheme="minorHAnsi"/>
          <w:color w:val="auto"/>
        </w:rPr>
        <w:t>Facebook /</w:t>
      </w:r>
      <w:proofErr w:type="spellStart"/>
      <w:r w:rsidRPr="00D34BE1">
        <w:rPr>
          <w:rFonts w:asciiTheme="minorHAnsi" w:hAnsiTheme="minorHAnsi" w:cstheme="minorHAnsi"/>
          <w:color w:val="auto"/>
        </w:rPr>
        <w:t>BIENALSURarte</w:t>
      </w:r>
      <w:proofErr w:type="spellEnd"/>
    </w:p>
    <w:p w:rsidR="00321507" w:rsidRPr="00D34BE1" w:rsidRDefault="00321507" w:rsidP="00D34BE1">
      <w:pPr>
        <w:spacing w:line="360" w:lineRule="auto"/>
        <w:jc w:val="both"/>
        <w:rPr>
          <w:rFonts w:asciiTheme="minorHAnsi" w:hAnsiTheme="minorHAnsi" w:cstheme="minorHAnsi"/>
          <w:color w:val="auto"/>
        </w:rPr>
      </w:pPr>
      <w:proofErr w:type="spellStart"/>
      <w:r w:rsidRPr="00D34BE1">
        <w:rPr>
          <w:rFonts w:asciiTheme="minorHAnsi" w:hAnsiTheme="minorHAnsi" w:cstheme="minorHAnsi"/>
          <w:color w:val="auto"/>
        </w:rPr>
        <w:t>Twitter</w:t>
      </w:r>
      <w:proofErr w:type="spellEnd"/>
      <w:r w:rsidRPr="00D34BE1">
        <w:rPr>
          <w:rFonts w:asciiTheme="minorHAnsi" w:hAnsiTheme="minorHAnsi" w:cstheme="minorHAnsi"/>
          <w:color w:val="auto"/>
        </w:rPr>
        <w:t xml:space="preserve"> /</w:t>
      </w:r>
      <w:proofErr w:type="spellStart"/>
      <w:r w:rsidRPr="00D34BE1">
        <w:rPr>
          <w:rFonts w:asciiTheme="minorHAnsi" w:hAnsiTheme="minorHAnsi" w:cstheme="minorHAnsi"/>
          <w:color w:val="auto"/>
        </w:rPr>
        <w:t>BIENALSURarte</w:t>
      </w:r>
      <w:proofErr w:type="spellEnd"/>
    </w:p>
    <w:p w:rsidR="00321507" w:rsidRPr="00D34BE1" w:rsidRDefault="00321507" w:rsidP="00D34BE1">
      <w:pPr>
        <w:spacing w:line="360" w:lineRule="auto"/>
        <w:jc w:val="both"/>
        <w:rPr>
          <w:rFonts w:asciiTheme="minorHAnsi" w:hAnsiTheme="minorHAnsi" w:cstheme="minorHAnsi"/>
          <w:color w:val="auto"/>
        </w:rPr>
      </w:pPr>
      <w:proofErr w:type="spellStart"/>
      <w:r w:rsidRPr="00D34BE1">
        <w:rPr>
          <w:rFonts w:asciiTheme="minorHAnsi" w:hAnsiTheme="minorHAnsi" w:cstheme="minorHAnsi"/>
          <w:color w:val="auto"/>
        </w:rPr>
        <w:t>Youtube</w:t>
      </w:r>
      <w:proofErr w:type="spellEnd"/>
      <w:r w:rsidRPr="00D34BE1">
        <w:rPr>
          <w:rFonts w:asciiTheme="minorHAnsi" w:hAnsiTheme="minorHAnsi" w:cstheme="minorHAnsi"/>
          <w:color w:val="auto"/>
        </w:rPr>
        <w:t xml:space="preserve"> /</w:t>
      </w:r>
      <w:proofErr w:type="spellStart"/>
      <w:r w:rsidRPr="00D34BE1">
        <w:rPr>
          <w:rFonts w:asciiTheme="minorHAnsi" w:hAnsiTheme="minorHAnsi" w:cstheme="minorHAnsi"/>
          <w:color w:val="auto"/>
        </w:rPr>
        <w:t>BIENALSURsurarte</w:t>
      </w:r>
      <w:proofErr w:type="spellEnd"/>
    </w:p>
    <w:p w:rsidR="00321507" w:rsidRPr="00D34BE1" w:rsidRDefault="00321507" w:rsidP="00D34BE1">
      <w:pPr>
        <w:spacing w:line="360" w:lineRule="auto"/>
        <w:jc w:val="both"/>
        <w:rPr>
          <w:rFonts w:asciiTheme="minorHAnsi" w:hAnsiTheme="minorHAnsi" w:cstheme="minorHAnsi"/>
          <w:color w:val="auto"/>
        </w:rPr>
      </w:pPr>
    </w:p>
    <w:p w:rsidR="00321507" w:rsidRPr="00D34BE1" w:rsidRDefault="00321507" w:rsidP="00D34BE1">
      <w:pPr>
        <w:spacing w:line="360" w:lineRule="auto"/>
        <w:jc w:val="both"/>
        <w:rPr>
          <w:rFonts w:asciiTheme="minorHAnsi" w:hAnsiTheme="minorHAnsi" w:cstheme="minorHAnsi"/>
          <w:b/>
          <w:color w:val="auto"/>
        </w:rPr>
      </w:pPr>
      <w:proofErr w:type="spellStart"/>
      <w:r w:rsidRPr="00D34BE1">
        <w:rPr>
          <w:rFonts w:asciiTheme="minorHAnsi" w:hAnsiTheme="minorHAnsi" w:cstheme="minorHAnsi"/>
          <w:b/>
          <w:color w:val="auto"/>
        </w:rPr>
        <w:t>Hashtags</w:t>
      </w:r>
      <w:proofErr w:type="spellEnd"/>
      <w:r w:rsidRPr="00D34BE1">
        <w:rPr>
          <w:rFonts w:asciiTheme="minorHAnsi" w:hAnsiTheme="minorHAnsi" w:cstheme="minorHAnsi"/>
          <w:b/>
          <w:color w:val="auto"/>
        </w:rPr>
        <w:t xml:space="preserve"> sugeridos al publicar en redes:</w:t>
      </w:r>
    </w:p>
    <w:p w:rsidR="00321507" w:rsidRPr="00D34BE1" w:rsidRDefault="00321507" w:rsidP="00D34BE1">
      <w:pPr>
        <w:spacing w:line="360" w:lineRule="auto"/>
        <w:jc w:val="both"/>
        <w:rPr>
          <w:rFonts w:asciiTheme="minorHAnsi" w:hAnsiTheme="minorHAnsi" w:cstheme="minorHAnsi"/>
          <w:color w:val="auto"/>
        </w:rPr>
      </w:pPr>
      <w:r w:rsidRPr="00D34BE1">
        <w:rPr>
          <w:rFonts w:asciiTheme="minorHAnsi" w:hAnsiTheme="minorHAnsi" w:cstheme="minorHAnsi"/>
          <w:color w:val="auto"/>
        </w:rPr>
        <w:t>#BIENALSUR</w:t>
      </w:r>
    </w:p>
    <w:p w:rsidR="00321507" w:rsidRPr="00D34BE1" w:rsidRDefault="00321507" w:rsidP="00D34BE1">
      <w:pPr>
        <w:spacing w:line="360" w:lineRule="auto"/>
        <w:jc w:val="both"/>
        <w:rPr>
          <w:rFonts w:asciiTheme="minorHAnsi" w:hAnsiTheme="minorHAnsi" w:cstheme="minorHAnsi"/>
          <w:color w:val="auto"/>
        </w:rPr>
      </w:pPr>
      <w:r w:rsidRPr="00D34BE1">
        <w:rPr>
          <w:rFonts w:asciiTheme="minorHAnsi" w:hAnsiTheme="minorHAnsi" w:cstheme="minorHAnsi"/>
          <w:color w:val="auto"/>
        </w:rPr>
        <w:t>#BIENALSUR2019</w:t>
      </w:r>
    </w:p>
    <w:p w:rsidR="00E87625" w:rsidRPr="00D34BE1" w:rsidRDefault="00321507" w:rsidP="004A37B7">
      <w:pPr>
        <w:spacing w:line="360" w:lineRule="auto"/>
        <w:jc w:val="both"/>
        <w:rPr>
          <w:rFonts w:asciiTheme="minorHAnsi" w:hAnsiTheme="minorHAnsi" w:cstheme="minorHAnsi"/>
          <w:color w:val="auto"/>
        </w:rPr>
      </w:pPr>
      <w:r w:rsidRPr="00D34BE1">
        <w:rPr>
          <w:rFonts w:asciiTheme="minorHAnsi" w:hAnsiTheme="minorHAnsi" w:cstheme="minorHAnsi"/>
          <w:color w:val="auto"/>
        </w:rPr>
        <w:t>#</w:t>
      </w:r>
      <w:proofErr w:type="spellStart"/>
      <w:r w:rsidRPr="00D34BE1">
        <w:rPr>
          <w:rFonts w:asciiTheme="minorHAnsi" w:hAnsiTheme="minorHAnsi" w:cstheme="minorHAnsi"/>
          <w:color w:val="auto"/>
        </w:rPr>
        <w:t>ElArteBIENALSUR</w:t>
      </w:r>
      <w:bookmarkStart w:id="0" w:name="_GoBack"/>
      <w:bookmarkEnd w:id="0"/>
      <w:proofErr w:type="spellEnd"/>
    </w:p>
    <w:sectPr w:rsidR="00E87625" w:rsidRPr="00D34BE1"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436" w:rsidRDefault="000A4436" w:rsidP="00306F11">
      <w:r>
        <w:separator/>
      </w:r>
    </w:p>
  </w:endnote>
  <w:endnote w:type="continuationSeparator" w:id="0">
    <w:p w:rsidR="000A4436" w:rsidRDefault="000A4436"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490" w:rsidRDefault="00D33490">
    <w:pPr>
      <w:pStyle w:val="Piedepgina"/>
    </w:pPr>
  </w:p>
  <w:p w:rsidR="00D33490" w:rsidRDefault="00D33490">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436" w:rsidRDefault="000A4436" w:rsidP="00306F11">
      <w:r>
        <w:separator/>
      </w:r>
    </w:p>
  </w:footnote>
  <w:footnote w:type="continuationSeparator" w:id="0">
    <w:p w:rsidR="000A4436" w:rsidRDefault="000A4436"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490" w:rsidRDefault="00D33490">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D33490" w:rsidRDefault="00D33490">
    <w:pPr>
      <w:pStyle w:val="Encabezado"/>
    </w:pPr>
  </w:p>
  <w:p w:rsidR="00D33490" w:rsidRDefault="00D33490">
    <w:pPr>
      <w:pStyle w:val="Encabezado"/>
    </w:pPr>
  </w:p>
  <w:p w:rsidR="00D33490" w:rsidRDefault="00D33490">
    <w:pPr>
      <w:pStyle w:val="Encabezado"/>
    </w:pPr>
  </w:p>
  <w:p w:rsidR="00D33490" w:rsidRDefault="00D3349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7">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8">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9">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516300F5"/>
    <w:multiLevelType w:val="hybridMultilevel"/>
    <w:tmpl w:val="8F04FB56"/>
    <w:numStyleLink w:val="Estiloimportado1"/>
  </w:abstractNum>
  <w:abstractNum w:abstractNumId="13">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10"/>
  </w:num>
  <w:num w:numId="5">
    <w:abstractNumId w:val="4"/>
  </w:num>
  <w:num w:numId="6">
    <w:abstractNumId w:val="9"/>
  </w:num>
  <w:num w:numId="7">
    <w:abstractNumId w:val="11"/>
  </w:num>
  <w:num w:numId="8">
    <w:abstractNumId w:val="7"/>
  </w:num>
  <w:num w:numId="9">
    <w:abstractNumId w:val="13"/>
  </w:num>
  <w:num w:numId="10">
    <w:abstractNumId w:val="16"/>
  </w:num>
  <w:num w:numId="11">
    <w:abstractNumId w:val="12"/>
  </w:num>
  <w:num w:numId="12">
    <w:abstractNumId w:val="12"/>
    <w:lvlOverride w:ilvl="0">
      <w:lvl w:ilvl="0" w:tplc="C27A40D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518ABC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F4E924A">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BD602D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73C5BB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6DAFC40">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F1A78B2">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E225D6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0A29418">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5"/>
  </w:num>
  <w:num w:numId="14">
    <w:abstractNumId w:val="2"/>
  </w:num>
  <w:num w:numId="15">
    <w:abstractNumId w:val="8"/>
  </w:num>
  <w:num w:numId="16">
    <w:abstractNumId w:val="5"/>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63E71"/>
    <w:rsid w:val="000703C0"/>
    <w:rsid w:val="000A4436"/>
    <w:rsid w:val="000A7F60"/>
    <w:rsid w:val="000B18EC"/>
    <w:rsid w:val="000C3AD8"/>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7271D"/>
    <w:rsid w:val="001816E8"/>
    <w:rsid w:val="001863D2"/>
    <w:rsid w:val="001947C5"/>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7126B"/>
    <w:rsid w:val="00273D62"/>
    <w:rsid w:val="00284237"/>
    <w:rsid w:val="00294089"/>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9353B"/>
    <w:rsid w:val="003A4B8C"/>
    <w:rsid w:val="003A7BD4"/>
    <w:rsid w:val="003B61BC"/>
    <w:rsid w:val="003C28D6"/>
    <w:rsid w:val="003D654E"/>
    <w:rsid w:val="003D72DB"/>
    <w:rsid w:val="00400C66"/>
    <w:rsid w:val="00412DA3"/>
    <w:rsid w:val="00420BB2"/>
    <w:rsid w:val="004257B4"/>
    <w:rsid w:val="00433DA7"/>
    <w:rsid w:val="00463536"/>
    <w:rsid w:val="00483FCA"/>
    <w:rsid w:val="004A37B7"/>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41DBC"/>
    <w:rsid w:val="0055794A"/>
    <w:rsid w:val="00562DD2"/>
    <w:rsid w:val="00580068"/>
    <w:rsid w:val="00596E6A"/>
    <w:rsid w:val="00597C66"/>
    <w:rsid w:val="005A722E"/>
    <w:rsid w:val="005C0032"/>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6028"/>
    <w:rsid w:val="006B5790"/>
    <w:rsid w:val="006B76BB"/>
    <w:rsid w:val="006C0154"/>
    <w:rsid w:val="006C2BE5"/>
    <w:rsid w:val="006E6A9B"/>
    <w:rsid w:val="006F379F"/>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76566"/>
    <w:rsid w:val="00991AE2"/>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27921"/>
    <w:rsid w:val="00B31E84"/>
    <w:rsid w:val="00B32BB2"/>
    <w:rsid w:val="00B36B96"/>
    <w:rsid w:val="00B46ADA"/>
    <w:rsid w:val="00B53E51"/>
    <w:rsid w:val="00B56B75"/>
    <w:rsid w:val="00B6135B"/>
    <w:rsid w:val="00B66031"/>
    <w:rsid w:val="00B66F34"/>
    <w:rsid w:val="00B72E02"/>
    <w:rsid w:val="00B91D6C"/>
    <w:rsid w:val="00B96F0C"/>
    <w:rsid w:val="00BA20FC"/>
    <w:rsid w:val="00BA57FB"/>
    <w:rsid w:val="00BB08D9"/>
    <w:rsid w:val="00BB17A4"/>
    <w:rsid w:val="00BC2BD0"/>
    <w:rsid w:val="00BC7697"/>
    <w:rsid w:val="00BE5248"/>
    <w:rsid w:val="00BF76CB"/>
    <w:rsid w:val="00C03A57"/>
    <w:rsid w:val="00C05AF7"/>
    <w:rsid w:val="00C16C1C"/>
    <w:rsid w:val="00C17C14"/>
    <w:rsid w:val="00C2123F"/>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26333"/>
    <w:rsid w:val="00D33490"/>
    <w:rsid w:val="00D34BE1"/>
    <w:rsid w:val="00D501AF"/>
    <w:rsid w:val="00D62E0F"/>
    <w:rsid w:val="00D7076A"/>
    <w:rsid w:val="00D77334"/>
    <w:rsid w:val="00D81ABF"/>
    <w:rsid w:val="00D83CE7"/>
    <w:rsid w:val="00DA0B35"/>
    <w:rsid w:val="00DB2AF0"/>
    <w:rsid w:val="00DB36C3"/>
    <w:rsid w:val="00DB3935"/>
    <w:rsid w:val="00DB5509"/>
    <w:rsid w:val="00DC334E"/>
    <w:rsid w:val="00DD0C70"/>
    <w:rsid w:val="00DD78C8"/>
    <w:rsid w:val="00DF5FA7"/>
    <w:rsid w:val="00E051DF"/>
    <w:rsid w:val="00E1409B"/>
    <w:rsid w:val="00E20838"/>
    <w:rsid w:val="00E3018E"/>
    <w:rsid w:val="00E301EE"/>
    <w:rsid w:val="00E66DA8"/>
    <w:rsid w:val="00E87625"/>
    <w:rsid w:val="00E94595"/>
    <w:rsid w:val="00EA38EE"/>
    <w:rsid w:val="00EA5351"/>
    <w:rsid w:val="00EA5898"/>
    <w:rsid w:val="00EB14E5"/>
    <w:rsid w:val="00EB1BEA"/>
    <w:rsid w:val="00EB20BA"/>
    <w:rsid w:val="00EB6987"/>
    <w:rsid w:val="00EB73E7"/>
    <w:rsid w:val="00EC7AA0"/>
    <w:rsid w:val="00ED0D56"/>
    <w:rsid w:val="00EF195E"/>
    <w:rsid w:val="00EF3136"/>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FB33C-5023-437C-898F-1DE9DBD7B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804</Words>
  <Characters>4423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Usuario de Windows</cp:lastModifiedBy>
  <cp:revision>3</cp:revision>
  <cp:lastPrinted>2019-04-22T17:05:00Z</cp:lastPrinted>
  <dcterms:created xsi:type="dcterms:W3CDTF">2019-06-20T03:08:00Z</dcterms:created>
  <dcterms:modified xsi:type="dcterms:W3CDTF">2019-06-20T16:13:00Z</dcterms:modified>
</cp:coreProperties>
</file>